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5E" w:rsidRPr="001A66A0" w:rsidRDefault="00C8095E" w:rsidP="00986F70">
      <w:pPr>
        <w:rPr>
          <w:rFonts w:cstheme="minorHAnsi"/>
          <w:b/>
          <w:sz w:val="28"/>
          <w:szCs w:val="28"/>
        </w:rPr>
      </w:pPr>
      <w:bookmarkStart w:id="0" w:name="_GoBack"/>
      <w:bookmarkEnd w:id="0"/>
      <w:r w:rsidRPr="001A66A0">
        <w:rPr>
          <w:rFonts w:cstheme="minorHAnsi"/>
          <w:b/>
          <w:sz w:val="28"/>
          <w:szCs w:val="28"/>
        </w:rPr>
        <w:t>Prime Minister’s Scholarships for Asia (PMSA): Term</w:t>
      </w:r>
      <w:r w:rsidR="00647DA2" w:rsidRPr="001A66A0">
        <w:rPr>
          <w:rFonts w:cstheme="minorHAnsi"/>
          <w:b/>
          <w:sz w:val="28"/>
          <w:szCs w:val="28"/>
        </w:rPr>
        <w:t xml:space="preserve">s and Conditions </w:t>
      </w:r>
    </w:p>
    <w:p w:rsidR="000A734A" w:rsidRDefault="000A734A" w:rsidP="00986F70">
      <w:pPr>
        <w:rPr>
          <w:rFonts w:cstheme="minorHAnsi"/>
          <w:b/>
        </w:rPr>
      </w:pPr>
    </w:p>
    <w:p w:rsidR="008118F9" w:rsidRPr="001A66A0" w:rsidRDefault="008118F9" w:rsidP="008118F9">
      <w:pPr>
        <w:spacing w:after="120"/>
        <w:ind w:left="360" w:hanging="360"/>
        <w:rPr>
          <w:rFonts w:cstheme="minorHAnsi"/>
          <w:b/>
        </w:rPr>
      </w:pPr>
      <w:r w:rsidRPr="001A66A0">
        <w:rPr>
          <w:rFonts w:cstheme="minorHAnsi"/>
          <w:b/>
        </w:rPr>
        <w:t>General</w:t>
      </w:r>
    </w:p>
    <w:p w:rsidR="008118F9" w:rsidRPr="00D96801" w:rsidRDefault="008118F9" w:rsidP="008118F9">
      <w:pPr>
        <w:pStyle w:val="ListParagraph"/>
        <w:numPr>
          <w:ilvl w:val="0"/>
          <w:numId w:val="4"/>
        </w:numPr>
        <w:spacing w:after="120"/>
        <w:ind w:left="360"/>
        <w:contextualSpacing w:val="0"/>
        <w:rPr>
          <w:sz w:val="21"/>
          <w:szCs w:val="21"/>
          <w:lang w:val="en-US"/>
        </w:rPr>
      </w:pPr>
      <w:r w:rsidRPr="00D96801">
        <w:rPr>
          <w:sz w:val="21"/>
          <w:szCs w:val="21"/>
          <w:lang w:val="en-US"/>
        </w:rPr>
        <w:t xml:space="preserve">The offer of PMSA funding is specific to the individual and programme as detailed in their </w:t>
      </w:r>
      <w:r w:rsidR="00A769A4">
        <w:rPr>
          <w:sz w:val="21"/>
          <w:szCs w:val="21"/>
          <w:lang w:val="en-US"/>
        </w:rPr>
        <w:t>PMSA Offer Letter</w:t>
      </w:r>
      <w:r w:rsidRPr="00D96801">
        <w:rPr>
          <w:sz w:val="21"/>
          <w:szCs w:val="21"/>
          <w:lang w:val="en-US"/>
        </w:rPr>
        <w:t>. Any changes to the programme prior to</w:t>
      </w:r>
      <w:r w:rsidR="00A769A4">
        <w:rPr>
          <w:sz w:val="21"/>
          <w:szCs w:val="21"/>
          <w:lang w:val="en-US"/>
        </w:rPr>
        <w:t xml:space="preserve"> or after </w:t>
      </w:r>
      <w:r w:rsidRPr="00D96801">
        <w:rPr>
          <w:sz w:val="21"/>
          <w:szCs w:val="21"/>
          <w:lang w:val="en-US"/>
        </w:rPr>
        <w:t xml:space="preserve">uptake of the scholarship must be </w:t>
      </w:r>
      <w:r w:rsidR="00D16C9F" w:rsidRPr="00D96801">
        <w:rPr>
          <w:sz w:val="21"/>
          <w:szCs w:val="21"/>
          <w:lang w:val="en-US"/>
        </w:rPr>
        <w:t xml:space="preserve">advised to and </w:t>
      </w:r>
      <w:r w:rsidRPr="00D96801">
        <w:rPr>
          <w:sz w:val="21"/>
          <w:szCs w:val="21"/>
          <w:lang w:val="en-US"/>
        </w:rPr>
        <w:t xml:space="preserve">approved in writing by Education New Zealand (ENZ). </w:t>
      </w:r>
    </w:p>
    <w:p w:rsidR="008118F9" w:rsidRPr="00D96801" w:rsidRDefault="008118F9" w:rsidP="008118F9">
      <w:pPr>
        <w:pStyle w:val="ListParagraph"/>
        <w:numPr>
          <w:ilvl w:val="0"/>
          <w:numId w:val="4"/>
        </w:numPr>
        <w:spacing w:after="120"/>
        <w:ind w:left="360"/>
        <w:contextualSpacing w:val="0"/>
        <w:rPr>
          <w:sz w:val="21"/>
          <w:szCs w:val="21"/>
          <w:lang w:val="en-US"/>
        </w:rPr>
      </w:pPr>
      <w:r w:rsidRPr="00D96801">
        <w:rPr>
          <w:sz w:val="21"/>
          <w:szCs w:val="21"/>
          <w:lang w:val="en-US"/>
        </w:rPr>
        <w:t xml:space="preserve">The scholarship will lapse in the event that a recipient fails to </w:t>
      </w:r>
      <w:r w:rsidR="00E950DB">
        <w:rPr>
          <w:sz w:val="21"/>
          <w:szCs w:val="21"/>
          <w:lang w:val="en-US"/>
        </w:rPr>
        <w:t>gain</w:t>
      </w:r>
      <w:r w:rsidRPr="00D96801">
        <w:rPr>
          <w:sz w:val="21"/>
          <w:szCs w:val="21"/>
          <w:lang w:val="en-US"/>
        </w:rPr>
        <w:t xml:space="preserve"> </w:t>
      </w:r>
      <w:r w:rsidR="00E950DB">
        <w:rPr>
          <w:sz w:val="21"/>
          <w:szCs w:val="21"/>
          <w:lang w:val="en-US"/>
        </w:rPr>
        <w:t>admission</w:t>
      </w:r>
      <w:r w:rsidRPr="00D96801">
        <w:rPr>
          <w:sz w:val="21"/>
          <w:szCs w:val="21"/>
          <w:lang w:val="en-US"/>
        </w:rPr>
        <w:t xml:space="preserve"> into their programme. </w:t>
      </w:r>
    </w:p>
    <w:p w:rsidR="008118F9" w:rsidRPr="00D96801" w:rsidRDefault="00B468F2" w:rsidP="001442E4">
      <w:pPr>
        <w:pStyle w:val="ListParagraph"/>
        <w:numPr>
          <w:ilvl w:val="0"/>
          <w:numId w:val="4"/>
        </w:numPr>
        <w:spacing w:after="120"/>
        <w:ind w:left="360"/>
        <w:contextualSpacing w:val="0"/>
        <w:rPr>
          <w:sz w:val="21"/>
          <w:szCs w:val="21"/>
          <w:lang w:val="en-US"/>
        </w:rPr>
      </w:pPr>
      <w:r w:rsidRPr="00D96801">
        <w:rPr>
          <w:sz w:val="21"/>
          <w:szCs w:val="21"/>
          <w:lang w:val="en-US"/>
        </w:rPr>
        <w:t>Recipients</w:t>
      </w:r>
      <w:r w:rsidR="008118F9" w:rsidRPr="00D96801">
        <w:rPr>
          <w:sz w:val="21"/>
          <w:szCs w:val="21"/>
          <w:lang w:val="en-US"/>
        </w:rPr>
        <w:t xml:space="preserve"> must commence their </w:t>
      </w:r>
      <w:r w:rsidR="000328EA" w:rsidRPr="00D96801">
        <w:rPr>
          <w:sz w:val="21"/>
          <w:szCs w:val="21"/>
          <w:lang w:val="en-US"/>
        </w:rPr>
        <w:t>PMSA-related programme in Asia</w:t>
      </w:r>
      <w:r w:rsidR="008118F9" w:rsidRPr="00D96801">
        <w:rPr>
          <w:sz w:val="21"/>
          <w:szCs w:val="21"/>
          <w:lang w:val="en-US"/>
        </w:rPr>
        <w:t xml:space="preserve"> within six months of the award being offered</w:t>
      </w:r>
      <w:r w:rsidR="000328EA" w:rsidRPr="00D96801">
        <w:rPr>
          <w:sz w:val="21"/>
          <w:szCs w:val="21"/>
          <w:lang w:val="en-US"/>
        </w:rPr>
        <w:t xml:space="preserve">, or notify ENZ if a different timeframe is required. This is </w:t>
      </w:r>
      <w:r w:rsidRPr="00D96801">
        <w:rPr>
          <w:sz w:val="21"/>
          <w:szCs w:val="21"/>
          <w:lang w:val="en-US"/>
        </w:rPr>
        <w:t>approved</w:t>
      </w:r>
      <w:r w:rsidR="000328EA" w:rsidRPr="00D96801">
        <w:rPr>
          <w:sz w:val="21"/>
          <w:szCs w:val="21"/>
          <w:lang w:val="en-US"/>
        </w:rPr>
        <w:t xml:space="preserve"> on a case-by-case basis. </w:t>
      </w:r>
    </w:p>
    <w:p w:rsidR="001442E4" w:rsidRPr="00D96801" w:rsidRDefault="008118F9" w:rsidP="008118F9">
      <w:pPr>
        <w:pStyle w:val="ListParagraph"/>
        <w:numPr>
          <w:ilvl w:val="0"/>
          <w:numId w:val="4"/>
        </w:numPr>
        <w:spacing w:after="120"/>
        <w:ind w:left="360"/>
        <w:contextualSpacing w:val="0"/>
        <w:rPr>
          <w:sz w:val="21"/>
          <w:szCs w:val="21"/>
          <w:lang w:val="en-US"/>
        </w:rPr>
      </w:pPr>
      <w:r w:rsidRPr="00D96801">
        <w:rPr>
          <w:sz w:val="21"/>
          <w:szCs w:val="21"/>
          <w:lang w:val="en-US"/>
        </w:rPr>
        <w:t>Recipients may hold other scholarships in addi</w:t>
      </w:r>
      <w:r w:rsidR="00B468F2" w:rsidRPr="00D96801">
        <w:rPr>
          <w:sz w:val="21"/>
          <w:szCs w:val="21"/>
          <w:lang w:val="en-US"/>
        </w:rPr>
        <w:t>tion to the PMSA, provided the terms</w:t>
      </w:r>
      <w:r w:rsidRPr="00D96801">
        <w:rPr>
          <w:sz w:val="21"/>
          <w:szCs w:val="21"/>
          <w:lang w:val="en-US"/>
        </w:rPr>
        <w:t xml:space="preserve"> of the other award/s allow for this. </w:t>
      </w:r>
    </w:p>
    <w:p w:rsidR="008C3367" w:rsidRDefault="00F30304" w:rsidP="008C3367">
      <w:pPr>
        <w:pStyle w:val="ListParagraph"/>
        <w:numPr>
          <w:ilvl w:val="0"/>
          <w:numId w:val="4"/>
        </w:numPr>
        <w:spacing w:after="120"/>
        <w:ind w:left="360"/>
        <w:contextualSpacing w:val="0"/>
        <w:rPr>
          <w:sz w:val="21"/>
          <w:szCs w:val="21"/>
          <w:lang w:val="en-US"/>
        </w:rPr>
      </w:pPr>
      <w:r w:rsidRPr="00D96801">
        <w:rPr>
          <w:sz w:val="21"/>
          <w:szCs w:val="21"/>
          <w:lang w:val="en-US"/>
        </w:rPr>
        <w:t>Individuals</w:t>
      </w:r>
      <w:r w:rsidR="00F05158" w:rsidRPr="00D96801">
        <w:rPr>
          <w:sz w:val="21"/>
          <w:szCs w:val="21"/>
          <w:lang w:val="en-US"/>
        </w:rPr>
        <w:t xml:space="preserve"> can apply multiple times for PMSA funding. </w:t>
      </w:r>
    </w:p>
    <w:p w:rsidR="008C3367" w:rsidRPr="008C3367" w:rsidRDefault="008918F6" w:rsidP="008C3367">
      <w:pPr>
        <w:pStyle w:val="ListParagraph"/>
        <w:numPr>
          <w:ilvl w:val="0"/>
          <w:numId w:val="4"/>
        </w:numPr>
        <w:spacing w:after="120"/>
        <w:ind w:left="360"/>
        <w:contextualSpacing w:val="0"/>
        <w:rPr>
          <w:sz w:val="21"/>
          <w:szCs w:val="21"/>
          <w:lang w:val="en-US"/>
        </w:rPr>
      </w:pPr>
      <w:r>
        <w:rPr>
          <w:sz w:val="21"/>
          <w:szCs w:val="21"/>
          <w:lang w:val="en-US"/>
        </w:rPr>
        <w:t xml:space="preserve">The PMSA will </w:t>
      </w:r>
      <w:r w:rsidRPr="008918F6">
        <w:rPr>
          <w:sz w:val="21"/>
          <w:szCs w:val="21"/>
          <w:u w:val="single"/>
          <w:lang w:val="en-US"/>
        </w:rPr>
        <w:t>not</w:t>
      </w:r>
      <w:r>
        <w:rPr>
          <w:sz w:val="21"/>
          <w:szCs w:val="21"/>
          <w:lang w:val="en-US"/>
        </w:rPr>
        <w:t xml:space="preserve"> fund retrospective costs incurred prior to </w:t>
      </w:r>
      <w:r w:rsidR="008C3367" w:rsidRPr="008C3367">
        <w:rPr>
          <w:sz w:val="21"/>
          <w:szCs w:val="21"/>
          <w:lang w:val="en-US"/>
        </w:rPr>
        <w:t xml:space="preserve">the PMSA submission deadline </w:t>
      </w:r>
      <w:r>
        <w:rPr>
          <w:sz w:val="21"/>
          <w:szCs w:val="21"/>
          <w:lang w:val="en-US"/>
        </w:rPr>
        <w:t xml:space="preserve">for the application </w:t>
      </w:r>
      <w:r w:rsidR="008C3367" w:rsidRPr="008C3367">
        <w:rPr>
          <w:sz w:val="21"/>
          <w:szCs w:val="21"/>
          <w:lang w:val="en-US"/>
        </w:rPr>
        <w:t>(</w:t>
      </w:r>
      <w:r>
        <w:rPr>
          <w:sz w:val="21"/>
          <w:szCs w:val="21"/>
          <w:lang w:val="en-US"/>
        </w:rPr>
        <w:t xml:space="preserve">either 30 March or 30 September). Costs incurred from the </w:t>
      </w:r>
      <w:r w:rsidR="00BE414D">
        <w:rPr>
          <w:sz w:val="21"/>
          <w:szCs w:val="21"/>
          <w:lang w:val="en-US"/>
        </w:rPr>
        <w:t>submission deadline</w:t>
      </w:r>
      <w:r>
        <w:rPr>
          <w:sz w:val="21"/>
          <w:szCs w:val="21"/>
          <w:lang w:val="en-US"/>
        </w:rPr>
        <w:t xml:space="preserve"> to </w:t>
      </w:r>
      <w:r w:rsidR="008C3367" w:rsidRPr="008C3367">
        <w:rPr>
          <w:sz w:val="21"/>
          <w:szCs w:val="21"/>
          <w:lang w:val="en-US"/>
        </w:rPr>
        <w:t xml:space="preserve">the end of </w:t>
      </w:r>
      <w:r>
        <w:rPr>
          <w:sz w:val="21"/>
          <w:szCs w:val="21"/>
          <w:lang w:val="en-US"/>
        </w:rPr>
        <w:t>the</w:t>
      </w:r>
      <w:r w:rsidR="00BE414D">
        <w:rPr>
          <w:sz w:val="21"/>
          <w:szCs w:val="21"/>
          <w:lang w:val="en-US"/>
        </w:rPr>
        <w:t>ir</w:t>
      </w:r>
      <w:r w:rsidR="008C3367" w:rsidRPr="008C3367">
        <w:rPr>
          <w:sz w:val="21"/>
          <w:szCs w:val="21"/>
          <w:lang w:val="en-US"/>
        </w:rPr>
        <w:t xml:space="preserve"> programme</w:t>
      </w:r>
      <w:r>
        <w:rPr>
          <w:sz w:val="21"/>
          <w:szCs w:val="21"/>
          <w:lang w:val="en-US"/>
        </w:rPr>
        <w:t xml:space="preserve"> may be applied for and may be approved</w:t>
      </w:r>
      <w:r w:rsidR="008C3367" w:rsidRPr="008C3367">
        <w:rPr>
          <w:sz w:val="21"/>
          <w:szCs w:val="21"/>
          <w:lang w:val="en-US"/>
        </w:rPr>
        <w:t xml:space="preserve">. </w:t>
      </w:r>
    </w:p>
    <w:p w:rsidR="00F05158" w:rsidRPr="00D96801" w:rsidRDefault="00B468F2" w:rsidP="008C3367">
      <w:pPr>
        <w:pStyle w:val="ListParagraph"/>
        <w:numPr>
          <w:ilvl w:val="0"/>
          <w:numId w:val="4"/>
        </w:numPr>
        <w:spacing w:after="120"/>
        <w:ind w:left="426" w:hanging="426"/>
        <w:contextualSpacing w:val="0"/>
        <w:rPr>
          <w:sz w:val="21"/>
          <w:szCs w:val="21"/>
          <w:lang w:val="en-US"/>
        </w:rPr>
      </w:pPr>
      <w:r w:rsidRPr="00D96801">
        <w:rPr>
          <w:sz w:val="21"/>
          <w:szCs w:val="21"/>
          <w:lang w:val="en-US"/>
        </w:rPr>
        <w:t>Recipients</w:t>
      </w:r>
      <w:r w:rsidR="008118F9" w:rsidRPr="00D96801">
        <w:rPr>
          <w:sz w:val="21"/>
          <w:szCs w:val="21"/>
          <w:lang w:val="en-US"/>
        </w:rPr>
        <w:t xml:space="preserve"> may not hold more than one PMSA award at the same time. </w:t>
      </w:r>
    </w:p>
    <w:p w:rsidR="00F05158" w:rsidRPr="00D96801" w:rsidRDefault="00B468F2" w:rsidP="008C3367">
      <w:pPr>
        <w:pStyle w:val="ListParagraph"/>
        <w:numPr>
          <w:ilvl w:val="0"/>
          <w:numId w:val="4"/>
        </w:numPr>
        <w:spacing w:after="120"/>
        <w:ind w:left="426" w:hanging="426"/>
        <w:contextualSpacing w:val="0"/>
        <w:rPr>
          <w:sz w:val="21"/>
          <w:szCs w:val="21"/>
          <w:lang w:val="en-US"/>
        </w:rPr>
      </w:pPr>
      <w:r w:rsidRPr="00D96801">
        <w:rPr>
          <w:sz w:val="21"/>
          <w:szCs w:val="21"/>
          <w:lang w:val="en-US"/>
        </w:rPr>
        <w:t>Recipients</w:t>
      </w:r>
      <w:r w:rsidR="00F05158" w:rsidRPr="00D96801">
        <w:rPr>
          <w:sz w:val="21"/>
          <w:szCs w:val="21"/>
          <w:lang w:val="en-US"/>
        </w:rPr>
        <w:t xml:space="preserve"> may not receive funding covering more than 24 months active time on scholarship. </w:t>
      </w:r>
    </w:p>
    <w:p w:rsidR="001B04FB" w:rsidRDefault="00B468F2" w:rsidP="001B04FB">
      <w:pPr>
        <w:pStyle w:val="ListParagraph"/>
        <w:numPr>
          <w:ilvl w:val="0"/>
          <w:numId w:val="4"/>
        </w:numPr>
        <w:spacing w:after="120"/>
        <w:ind w:left="426" w:hanging="426"/>
        <w:contextualSpacing w:val="0"/>
        <w:rPr>
          <w:sz w:val="21"/>
          <w:szCs w:val="21"/>
          <w:lang w:val="en-US"/>
        </w:rPr>
      </w:pPr>
      <w:r w:rsidRPr="00D96801">
        <w:rPr>
          <w:sz w:val="21"/>
          <w:szCs w:val="21"/>
          <w:lang w:val="en-US"/>
        </w:rPr>
        <w:t>Recipients</w:t>
      </w:r>
      <w:r w:rsidR="008118F9" w:rsidRPr="00D96801">
        <w:rPr>
          <w:sz w:val="21"/>
          <w:szCs w:val="21"/>
          <w:lang w:val="en-US"/>
        </w:rPr>
        <w:t xml:space="preserve"> are responsible for securing an appropriate e</w:t>
      </w:r>
      <w:r w:rsidR="00F05158" w:rsidRPr="00D96801">
        <w:rPr>
          <w:sz w:val="21"/>
          <w:szCs w:val="21"/>
          <w:lang w:val="en-US"/>
        </w:rPr>
        <w:t xml:space="preserve">ntry visa to their host country. </w:t>
      </w:r>
      <w:r w:rsidR="008118F9" w:rsidRPr="00D96801">
        <w:rPr>
          <w:sz w:val="21"/>
          <w:szCs w:val="21"/>
          <w:lang w:val="en-US"/>
        </w:rPr>
        <w:t xml:space="preserve"> </w:t>
      </w:r>
    </w:p>
    <w:p w:rsidR="001B04FB" w:rsidRPr="001B04FB" w:rsidRDefault="00E8669F" w:rsidP="001B04FB">
      <w:pPr>
        <w:pStyle w:val="ListParagraph"/>
        <w:numPr>
          <w:ilvl w:val="0"/>
          <w:numId w:val="4"/>
        </w:numPr>
        <w:spacing w:after="120"/>
        <w:ind w:left="426" w:hanging="426"/>
        <w:contextualSpacing w:val="0"/>
        <w:rPr>
          <w:sz w:val="21"/>
          <w:szCs w:val="21"/>
          <w:lang w:val="en-US"/>
        </w:rPr>
      </w:pPr>
      <w:r w:rsidRPr="001B04FB">
        <w:rPr>
          <w:sz w:val="21"/>
          <w:szCs w:val="21"/>
          <w:lang w:val="en-US"/>
        </w:rPr>
        <w:t xml:space="preserve">Recipients must register with MFAT: </w:t>
      </w:r>
      <w:hyperlink r:id="rId8" w:history="1">
        <w:r w:rsidR="00E966F3" w:rsidRPr="001B04FB">
          <w:rPr>
            <w:lang w:val="en-US"/>
          </w:rPr>
          <w:t>https://www.safetravel.govt.nz/</w:t>
        </w:r>
      </w:hyperlink>
      <w:r w:rsidR="00E966F3" w:rsidRPr="001B04FB">
        <w:rPr>
          <w:sz w:val="21"/>
          <w:szCs w:val="21"/>
          <w:lang w:val="en-US"/>
        </w:rPr>
        <w:t xml:space="preserve"> </w:t>
      </w:r>
      <w:r w:rsidR="00E950DB" w:rsidRPr="001B04FB">
        <w:rPr>
          <w:sz w:val="21"/>
          <w:szCs w:val="21"/>
          <w:lang w:val="en-US"/>
        </w:rPr>
        <w:t>. This is mandatory</w:t>
      </w:r>
      <w:r w:rsidR="00E966F3" w:rsidRPr="001B04FB">
        <w:rPr>
          <w:sz w:val="21"/>
          <w:szCs w:val="21"/>
          <w:lang w:val="en-US"/>
        </w:rPr>
        <w:t>.</w:t>
      </w:r>
      <w:r w:rsidR="00294242" w:rsidRPr="001B04FB">
        <w:rPr>
          <w:sz w:val="21"/>
          <w:szCs w:val="21"/>
          <w:lang w:val="en-US"/>
        </w:rPr>
        <w:t xml:space="preserve"> </w:t>
      </w:r>
      <w:r w:rsidR="001B04FB" w:rsidRPr="001B04FB">
        <w:rPr>
          <w:sz w:val="21"/>
          <w:szCs w:val="21"/>
          <w:lang w:val="en-US"/>
        </w:rPr>
        <w:t>Up</w:t>
      </w:r>
      <w:r w:rsidR="001B04FB">
        <w:rPr>
          <w:sz w:val="21"/>
          <w:szCs w:val="21"/>
          <w:lang w:val="en-US"/>
        </w:rPr>
        <w:t xml:space="preserve"> to date region and destination-</w:t>
      </w:r>
      <w:r w:rsidR="001B04FB" w:rsidRPr="001B04FB">
        <w:rPr>
          <w:sz w:val="21"/>
          <w:szCs w:val="21"/>
          <w:lang w:val="en-US"/>
        </w:rPr>
        <w:t>specific risk reports are available on the same website and recipients should ensure they remain informed as to the levels and types of risk relevant to their destination country.</w:t>
      </w:r>
    </w:p>
    <w:p w:rsidR="00E950DB" w:rsidRPr="00D96801" w:rsidRDefault="00685743" w:rsidP="001B04FB">
      <w:pPr>
        <w:pStyle w:val="ListParagraph"/>
        <w:numPr>
          <w:ilvl w:val="0"/>
          <w:numId w:val="4"/>
        </w:numPr>
        <w:spacing w:after="120"/>
        <w:ind w:left="426" w:hanging="426"/>
        <w:contextualSpacing w:val="0"/>
        <w:rPr>
          <w:sz w:val="21"/>
          <w:szCs w:val="21"/>
          <w:lang w:val="en-US"/>
        </w:rPr>
      </w:pPr>
      <w:r>
        <w:rPr>
          <w:sz w:val="21"/>
          <w:szCs w:val="21"/>
          <w:lang w:val="en-US"/>
        </w:rPr>
        <w:t>Recipients will report to ENZ and agree to all reasonable requests to participate in promotion</w:t>
      </w:r>
      <w:r w:rsidR="008918F6">
        <w:rPr>
          <w:sz w:val="21"/>
          <w:szCs w:val="21"/>
          <w:lang w:val="en-US"/>
        </w:rPr>
        <w:t>al</w:t>
      </w:r>
      <w:r>
        <w:rPr>
          <w:sz w:val="21"/>
          <w:szCs w:val="21"/>
          <w:lang w:val="en-US"/>
        </w:rPr>
        <w:t xml:space="preserve"> and </w:t>
      </w:r>
      <w:r>
        <w:rPr>
          <w:sz w:val="21"/>
          <w:szCs w:val="21"/>
          <w:lang w:val="en-US"/>
        </w:rPr>
        <w:br/>
        <w:t>alumni activities</w:t>
      </w:r>
      <w:r w:rsidR="00706D83">
        <w:rPr>
          <w:sz w:val="21"/>
          <w:szCs w:val="21"/>
          <w:lang w:val="en-US"/>
        </w:rPr>
        <w:t>.</w:t>
      </w:r>
    </w:p>
    <w:p w:rsidR="00E950DB" w:rsidRPr="00937D89" w:rsidRDefault="00B468F2" w:rsidP="001B04FB">
      <w:pPr>
        <w:pStyle w:val="ListParagraph"/>
        <w:numPr>
          <w:ilvl w:val="0"/>
          <w:numId w:val="4"/>
        </w:numPr>
        <w:spacing w:after="120"/>
        <w:ind w:left="426" w:hanging="426"/>
        <w:contextualSpacing w:val="0"/>
        <w:rPr>
          <w:sz w:val="21"/>
          <w:szCs w:val="21"/>
          <w:lang w:val="en-US"/>
        </w:rPr>
      </w:pPr>
      <w:r w:rsidRPr="00D96801">
        <w:rPr>
          <w:sz w:val="21"/>
          <w:szCs w:val="21"/>
          <w:lang w:val="en-US"/>
        </w:rPr>
        <w:t>Recipients</w:t>
      </w:r>
      <w:r w:rsidR="008118F9" w:rsidRPr="00D96801">
        <w:rPr>
          <w:sz w:val="21"/>
          <w:szCs w:val="21"/>
          <w:lang w:val="en-US"/>
        </w:rPr>
        <w:t xml:space="preserve"> who wish to change their programme during tenure of the scholarship may do so on gaining written permission from </w:t>
      </w:r>
      <w:r w:rsidR="00647DA2" w:rsidRPr="00D96801">
        <w:rPr>
          <w:sz w:val="21"/>
          <w:szCs w:val="21"/>
          <w:lang w:val="en-US"/>
        </w:rPr>
        <w:t xml:space="preserve">ENZ and </w:t>
      </w:r>
      <w:r w:rsidR="008118F9" w:rsidRPr="00D96801">
        <w:rPr>
          <w:sz w:val="21"/>
          <w:szCs w:val="21"/>
          <w:lang w:val="en-US"/>
        </w:rPr>
        <w:t xml:space="preserve">their host </w:t>
      </w:r>
      <w:r w:rsidR="00647DA2" w:rsidRPr="00D96801">
        <w:rPr>
          <w:sz w:val="21"/>
          <w:szCs w:val="21"/>
          <w:lang w:val="en-US"/>
        </w:rPr>
        <w:t>institution</w:t>
      </w:r>
      <w:r w:rsidR="008118F9" w:rsidRPr="00D96801">
        <w:rPr>
          <w:sz w:val="21"/>
          <w:szCs w:val="21"/>
          <w:lang w:val="en-US"/>
        </w:rPr>
        <w:t xml:space="preserve"> (and home </w:t>
      </w:r>
      <w:r w:rsidR="00647DA2" w:rsidRPr="00D96801">
        <w:rPr>
          <w:sz w:val="21"/>
          <w:szCs w:val="21"/>
          <w:lang w:val="en-US"/>
        </w:rPr>
        <w:t>institution if applicable)</w:t>
      </w:r>
      <w:r w:rsidR="008118F9" w:rsidRPr="00D96801">
        <w:rPr>
          <w:sz w:val="21"/>
          <w:szCs w:val="21"/>
          <w:lang w:val="en-US"/>
        </w:rPr>
        <w:t xml:space="preserve">.  </w:t>
      </w:r>
      <w:r w:rsidR="00F05158" w:rsidRPr="00D96801">
        <w:rPr>
          <w:sz w:val="21"/>
          <w:szCs w:val="21"/>
          <w:lang w:val="en-US"/>
        </w:rPr>
        <w:t>Request for approval of</w:t>
      </w:r>
      <w:r w:rsidR="008118F9" w:rsidRPr="00D96801">
        <w:rPr>
          <w:sz w:val="21"/>
          <w:szCs w:val="21"/>
          <w:lang w:val="en-US"/>
        </w:rPr>
        <w:t xml:space="preserve"> changes to a programme must be submitted in writing to ENZ prior to the changed activity.</w:t>
      </w:r>
    </w:p>
    <w:p w:rsidR="00937D89" w:rsidRDefault="00937D89" w:rsidP="001442E4">
      <w:pPr>
        <w:pStyle w:val="ListParagraph"/>
        <w:spacing w:after="120"/>
        <w:ind w:left="0"/>
        <w:contextualSpacing w:val="0"/>
        <w:rPr>
          <w:rFonts w:cstheme="minorHAnsi"/>
          <w:b/>
        </w:rPr>
      </w:pPr>
    </w:p>
    <w:p w:rsidR="001442E4" w:rsidRPr="001A66A0" w:rsidRDefault="001442E4" w:rsidP="001442E4">
      <w:pPr>
        <w:pStyle w:val="ListParagraph"/>
        <w:spacing w:after="120"/>
        <w:ind w:left="0"/>
        <w:contextualSpacing w:val="0"/>
        <w:rPr>
          <w:rFonts w:cstheme="minorHAnsi"/>
          <w:b/>
        </w:rPr>
      </w:pPr>
      <w:r w:rsidRPr="001A66A0">
        <w:rPr>
          <w:rFonts w:cstheme="minorHAnsi"/>
          <w:b/>
        </w:rPr>
        <w:t>Code of Conduct</w:t>
      </w:r>
    </w:p>
    <w:p w:rsidR="000A734A" w:rsidRPr="000A734A" w:rsidRDefault="000A734A" w:rsidP="000A734A">
      <w:pPr>
        <w:pStyle w:val="ListParagraph"/>
        <w:numPr>
          <w:ilvl w:val="0"/>
          <w:numId w:val="4"/>
        </w:numPr>
        <w:spacing w:after="120"/>
        <w:ind w:left="426" w:hanging="426"/>
        <w:contextualSpacing w:val="0"/>
        <w:rPr>
          <w:sz w:val="21"/>
          <w:szCs w:val="21"/>
          <w:lang w:val="en-US"/>
        </w:rPr>
      </w:pPr>
      <w:r w:rsidRPr="000A734A">
        <w:rPr>
          <w:sz w:val="21"/>
          <w:szCs w:val="21"/>
          <w:lang w:val="en-US"/>
        </w:rPr>
        <w:t>Recipients are expected to take primary responsibility for their own health, safety and welfare while overseas.  Recipients must have regard to the risks and dangers specific to their destination country and must not unnecessarily place their health, safety or welfare at risk</w:t>
      </w:r>
      <w:r w:rsidRPr="000A734A">
        <w:rPr>
          <w:rFonts w:ascii="Arial" w:hAnsi="Arial" w:cs="Arial"/>
          <w:sz w:val="18"/>
          <w:szCs w:val="18"/>
        </w:rPr>
        <w:t>.    </w:t>
      </w:r>
    </w:p>
    <w:p w:rsidR="00DC0EA3" w:rsidRPr="00DC0EA3" w:rsidRDefault="00DC0EA3" w:rsidP="001B04FB">
      <w:pPr>
        <w:pStyle w:val="ListParagraph"/>
        <w:numPr>
          <w:ilvl w:val="0"/>
          <w:numId w:val="4"/>
        </w:numPr>
        <w:spacing w:after="120"/>
        <w:ind w:left="426" w:hanging="426"/>
        <w:contextualSpacing w:val="0"/>
        <w:rPr>
          <w:sz w:val="21"/>
          <w:szCs w:val="21"/>
          <w:lang w:val="en-US"/>
        </w:rPr>
      </w:pPr>
      <w:r w:rsidRPr="00DC0EA3">
        <w:rPr>
          <w:sz w:val="21"/>
          <w:szCs w:val="21"/>
          <w:lang w:val="en-US"/>
        </w:rPr>
        <w:t>Recipients will maintain behavio</w:t>
      </w:r>
      <w:r w:rsidR="001A66A0">
        <w:rPr>
          <w:sz w:val="21"/>
          <w:szCs w:val="21"/>
          <w:lang w:val="en-US"/>
        </w:rPr>
        <w:t>u</w:t>
      </w:r>
      <w:r w:rsidRPr="00DC0EA3">
        <w:rPr>
          <w:sz w:val="21"/>
          <w:szCs w:val="21"/>
          <w:lang w:val="en-US"/>
        </w:rPr>
        <w:t>r befitting a recipient of a New Zealand government awarded scholarship. Recipients will not bring themselves, their institution or the PMSA into disrepute.  In moderating their behaviour, recipients will take into consideration the standards of conduct, dress, speech etc of the particular region/s</w:t>
      </w:r>
      <w:r w:rsidR="00937D89">
        <w:rPr>
          <w:sz w:val="21"/>
          <w:szCs w:val="21"/>
          <w:lang w:val="en-US"/>
        </w:rPr>
        <w:t xml:space="preserve"> visited, and remain respectful, polite and positive</w:t>
      </w:r>
      <w:r w:rsidRPr="00DC0EA3">
        <w:rPr>
          <w:sz w:val="21"/>
          <w:szCs w:val="21"/>
          <w:lang w:val="en-US"/>
        </w:rPr>
        <w:t xml:space="preserve">.  </w:t>
      </w:r>
    </w:p>
    <w:p w:rsidR="003703D0" w:rsidRDefault="00DC0EA3" w:rsidP="001B04FB">
      <w:pPr>
        <w:pStyle w:val="ListParagraph"/>
        <w:numPr>
          <w:ilvl w:val="0"/>
          <w:numId w:val="4"/>
        </w:numPr>
        <w:spacing w:after="120"/>
        <w:ind w:left="426" w:hanging="426"/>
        <w:contextualSpacing w:val="0"/>
        <w:rPr>
          <w:sz w:val="21"/>
          <w:szCs w:val="21"/>
          <w:lang w:val="en-US"/>
        </w:rPr>
      </w:pPr>
      <w:r w:rsidRPr="00DC0EA3">
        <w:rPr>
          <w:sz w:val="21"/>
          <w:szCs w:val="21"/>
          <w:lang w:val="en-US"/>
        </w:rPr>
        <w:t>Recipients are encouraged to use Internet and digital communication tools</w:t>
      </w:r>
      <w:r w:rsidR="00DD30F4">
        <w:rPr>
          <w:rStyle w:val="FootnoteReference"/>
          <w:sz w:val="21"/>
          <w:szCs w:val="21"/>
          <w:lang w:val="en-US"/>
        </w:rPr>
        <w:footnoteReference w:id="1"/>
      </w:r>
      <w:r w:rsidRPr="00DC0EA3">
        <w:rPr>
          <w:sz w:val="21"/>
          <w:szCs w:val="21"/>
          <w:lang w:val="en-US"/>
        </w:rPr>
        <w:t xml:space="preserve"> to their fullest potential to enhance the scope, quality and innovation of their PMSA-related experiences. Such activities shall comply </w:t>
      </w:r>
    </w:p>
    <w:p w:rsidR="003703D0" w:rsidRDefault="003703D0" w:rsidP="003703D0">
      <w:pPr>
        <w:pStyle w:val="ListParagraph"/>
        <w:spacing w:after="120"/>
        <w:ind w:left="426"/>
        <w:contextualSpacing w:val="0"/>
        <w:rPr>
          <w:sz w:val="21"/>
          <w:szCs w:val="21"/>
          <w:lang w:val="en-US"/>
        </w:rPr>
      </w:pPr>
    </w:p>
    <w:p w:rsidR="00BE414D" w:rsidRDefault="00BE414D" w:rsidP="003703D0">
      <w:pPr>
        <w:pStyle w:val="ListParagraph"/>
        <w:spacing w:after="120"/>
        <w:ind w:left="426"/>
        <w:contextualSpacing w:val="0"/>
        <w:rPr>
          <w:sz w:val="21"/>
          <w:szCs w:val="21"/>
          <w:lang w:val="en-US"/>
        </w:rPr>
      </w:pPr>
    </w:p>
    <w:p w:rsidR="00BE414D" w:rsidRDefault="00BE414D" w:rsidP="003703D0">
      <w:pPr>
        <w:pStyle w:val="ListParagraph"/>
        <w:spacing w:after="120"/>
        <w:ind w:left="426"/>
        <w:contextualSpacing w:val="0"/>
        <w:rPr>
          <w:sz w:val="21"/>
          <w:szCs w:val="21"/>
          <w:lang w:val="en-US"/>
        </w:rPr>
      </w:pPr>
    </w:p>
    <w:p w:rsidR="003703D0" w:rsidRDefault="003703D0" w:rsidP="003703D0">
      <w:pPr>
        <w:pStyle w:val="ListParagraph"/>
        <w:spacing w:after="120"/>
        <w:ind w:left="426"/>
        <w:contextualSpacing w:val="0"/>
        <w:rPr>
          <w:sz w:val="21"/>
          <w:szCs w:val="21"/>
          <w:lang w:val="en-US"/>
        </w:rPr>
      </w:pPr>
    </w:p>
    <w:p w:rsidR="003703D0" w:rsidRDefault="003703D0" w:rsidP="003703D0">
      <w:pPr>
        <w:pStyle w:val="ListParagraph"/>
        <w:spacing w:after="120"/>
        <w:ind w:left="426"/>
        <w:contextualSpacing w:val="0"/>
        <w:rPr>
          <w:sz w:val="21"/>
          <w:szCs w:val="21"/>
          <w:lang w:val="en-US"/>
        </w:rPr>
      </w:pPr>
    </w:p>
    <w:p w:rsidR="003703D0" w:rsidRDefault="003703D0" w:rsidP="003703D0">
      <w:pPr>
        <w:pStyle w:val="ListParagraph"/>
        <w:spacing w:after="120"/>
        <w:ind w:left="426"/>
        <w:contextualSpacing w:val="0"/>
        <w:rPr>
          <w:sz w:val="21"/>
          <w:szCs w:val="21"/>
          <w:lang w:val="en-US"/>
        </w:rPr>
      </w:pPr>
    </w:p>
    <w:p w:rsidR="00E8669F" w:rsidRPr="003703D0" w:rsidRDefault="00DC0EA3" w:rsidP="003703D0">
      <w:pPr>
        <w:pStyle w:val="ListParagraph"/>
        <w:spacing w:after="120"/>
        <w:ind w:left="426"/>
        <w:contextualSpacing w:val="0"/>
        <w:rPr>
          <w:sz w:val="21"/>
          <w:szCs w:val="21"/>
          <w:lang w:val="en-US"/>
        </w:rPr>
      </w:pPr>
      <w:proofErr w:type="gramStart"/>
      <w:r w:rsidRPr="00DC0EA3">
        <w:rPr>
          <w:sz w:val="21"/>
          <w:szCs w:val="21"/>
          <w:lang w:val="en-US"/>
        </w:rPr>
        <w:t>with</w:t>
      </w:r>
      <w:proofErr w:type="gramEnd"/>
      <w:r w:rsidRPr="00DC0EA3">
        <w:rPr>
          <w:sz w:val="21"/>
          <w:szCs w:val="21"/>
          <w:lang w:val="en-US"/>
        </w:rPr>
        <w:t xml:space="preserve"> all associated institutional policies of their </w:t>
      </w:r>
      <w:r w:rsidR="00937D89">
        <w:rPr>
          <w:sz w:val="21"/>
          <w:szCs w:val="21"/>
          <w:lang w:val="en-US"/>
        </w:rPr>
        <w:t>Asian institution and NZ institution where applicable</w:t>
      </w:r>
      <w:r w:rsidRPr="00DC0EA3">
        <w:rPr>
          <w:sz w:val="21"/>
          <w:szCs w:val="21"/>
          <w:lang w:val="en-US"/>
        </w:rPr>
        <w:t xml:space="preserve">. </w:t>
      </w:r>
      <w:r w:rsidR="003703D0">
        <w:rPr>
          <w:sz w:val="21"/>
          <w:szCs w:val="21"/>
          <w:lang w:val="en-US"/>
        </w:rPr>
        <w:br/>
      </w:r>
      <w:r w:rsidRPr="00DC0EA3">
        <w:rPr>
          <w:sz w:val="21"/>
          <w:szCs w:val="21"/>
          <w:lang w:val="en-US"/>
        </w:rPr>
        <w:t xml:space="preserve">PMSA </w:t>
      </w:r>
      <w:r w:rsidRPr="003703D0">
        <w:rPr>
          <w:sz w:val="21"/>
          <w:szCs w:val="21"/>
          <w:lang w:val="en-US"/>
        </w:rPr>
        <w:t xml:space="preserve">recipients who are not affiliated with a New Zealand institution must as a minimum comply with the New Zealand Copyright Act 1994 (no material is to be used without the written permission of the copyright owner), </w:t>
      </w:r>
      <w:r w:rsidR="00937D89" w:rsidRPr="003703D0">
        <w:rPr>
          <w:sz w:val="21"/>
          <w:szCs w:val="21"/>
          <w:lang w:val="en-US"/>
        </w:rPr>
        <w:t xml:space="preserve">and </w:t>
      </w:r>
      <w:r w:rsidRPr="003703D0">
        <w:rPr>
          <w:sz w:val="21"/>
          <w:szCs w:val="21"/>
          <w:lang w:val="en-US"/>
        </w:rPr>
        <w:t xml:space="preserve">the Films, Videos and Publications Classification Act 1993 (it is illegal to possess, own, sell, hire, give or buy an objectionable publication. Users should not intentionally access, send or download objectionable material by </w:t>
      </w:r>
      <w:r w:rsidR="00937D89" w:rsidRPr="003703D0">
        <w:rPr>
          <w:sz w:val="21"/>
          <w:szCs w:val="21"/>
          <w:lang w:val="en-US"/>
        </w:rPr>
        <w:t xml:space="preserve">Email or through the Internet). </w:t>
      </w:r>
      <w:r w:rsidRPr="003703D0">
        <w:rPr>
          <w:sz w:val="21"/>
          <w:szCs w:val="21"/>
          <w:lang w:val="en-US"/>
        </w:rPr>
        <w:t xml:space="preserve">Section 3 of the act states that material is “objectionable” if it describes, depicts, expresses, or otherwise deals with matters such as sex, horror, crime, cruelty, or violence in such a manner that the availability of the publication is likely to be injurious to the public good”. </w:t>
      </w:r>
    </w:p>
    <w:p w:rsidR="000A734A" w:rsidRPr="000A734A" w:rsidRDefault="00937D89" w:rsidP="000A734A">
      <w:pPr>
        <w:pStyle w:val="ListParagraph"/>
        <w:numPr>
          <w:ilvl w:val="0"/>
          <w:numId w:val="4"/>
        </w:numPr>
        <w:spacing w:after="120"/>
        <w:ind w:left="426" w:hanging="426"/>
        <w:contextualSpacing w:val="0"/>
        <w:rPr>
          <w:sz w:val="21"/>
          <w:szCs w:val="21"/>
          <w:lang w:val="en-US"/>
        </w:rPr>
      </w:pPr>
      <w:r>
        <w:rPr>
          <w:sz w:val="21"/>
          <w:szCs w:val="21"/>
          <w:lang w:val="en-US"/>
        </w:rPr>
        <w:t>Reci</w:t>
      </w:r>
      <w:r w:rsidR="00A471A0">
        <w:rPr>
          <w:sz w:val="21"/>
          <w:szCs w:val="21"/>
          <w:lang w:val="en-US"/>
        </w:rPr>
        <w:t>pients must not endorse any cri</w:t>
      </w:r>
      <w:r>
        <w:rPr>
          <w:sz w:val="21"/>
          <w:szCs w:val="21"/>
          <w:lang w:val="en-US"/>
        </w:rPr>
        <w:t>minal or anti-social activity. When you are acting on behalf of ENZ do not post or share any activity involving drugs, binge drinking or any other disruptive and/or criminal behaviour</w:t>
      </w:r>
      <w:r w:rsidR="002C7D71">
        <w:rPr>
          <w:sz w:val="21"/>
          <w:szCs w:val="21"/>
          <w:lang w:val="en-US"/>
        </w:rPr>
        <w:t xml:space="preserve">. </w:t>
      </w:r>
    </w:p>
    <w:p w:rsidR="00937D89" w:rsidRDefault="00937D89" w:rsidP="000A734A">
      <w:pPr>
        <w:pStyle w:val="ListParagraph"/>
        <w:spacing w:after="120"/>
        <w:ind w:left="0" w:hanging="720"/>
        <w:contextualSpacing w:val="0"/>
        <w:rPr>
          <w:rFonts w:cstheme="minorHAnsi"/>
          <w:b/>
        </w:rPr>
      </w:pPr>
    </w:p>
    <w:p w:rsidR="008118F9" w:rsidRPr="001A66A0" w:rsidRDefault="008118F9" w:rsidP="000A734A">
      <w:pPr>
        <w:pStyle w:val="ListParagraph"/>
        <w:spacing w:after="120"/>
        <w:ind w:left="0"/>
        <w:contextualSpacing w:val="0"/>
        <w:rPr>
          <w:rFonts w:cstheme="minorHAnsi"/>
          <w:b/>
        </w:rPr>
      </w:pPr>
      <w:r w:rsidRPr="001A66A0">
        <w:rPr>
          <w:rFonts w:cstheme="minorHAnsi"/>
          <w:b/>
        </w:rPr>
        <w:t>Satisfactory Progress and Good Standing</w:t>
      </w:r>
    </w:p>
    <w:p w:rsidR="001A66A0" w:rsidRPr="00E950DB" w:rsidRDefault="00B468F2" w:rsidP="000A734A">
      <w:pPr>
        <w:pStyle w:val="ListParagraph"/>
        <w:numPr>
          <w:ilvl w:val="0"/>
          <w:numId w:val="4"/>
        </w:numPr>
        <w:spacing w:after="120"/>
        <w:ind w:left="426" w:hanging="426"/>
        <w:contextualSpacing w:val="0"/>
        <w:rPr>
          <w:sz w:val="21"/>
          <w:szCs w:val="21"/>
          <w:lang w:val="en-US"/>
        </w:rPr>
      </w:pPr>
      <w:r w:rsidRPr="00D96801">
        <w:rPr>
          <w:sz w:val="21"/>
          <w:szCs w:val="21"/>
          <w:lang w:val="en-US"/>
        </w:rPr>
        <w:t>Recipients</w:t>
      </w:r>
      <w:r w:rsidR="008118F9" w:rsidRPr="00D96801">
        <w:rPr>
          <w:sz w:val="21"/>
          <w:szCs w:val="21"/>
          <w:lang w:val="en-US"/>
        </w:rPr>
        <w:t xml:space="preserve"> must maintain satisfactory progress and comply with the rules and regulations of their host institution and programme. </w:t>
      </w:r>
    </w:p>
    <w:p w:rsidR="008118F9" w:rsidRDefault="00B468F2" w:rsidP="000A734A">
      <w:pPr>
        <w:pStyle w:val="ListParagraph"/>
        <w:numPr>
          <w:ilvl w:val="0"/>
          <w:numId w:val="4"/>
        </w:numPr>
        <w:spacing w:after="120"/>
        <w:ind w:left="426" w:hanging="426"/>
        <w:contextualSpacing w:val="0"/>
        <w:rPr>
          <w:sz w:val="21"/>
          <w:szCs w:val="21"/>
          <w:lang w:val="en-US"/>
        </w:rPr>
      </w:pPr>
      <w:r w:rsidRPr="00D96801">
        <w:rPr>
          <w:sz w:val="21"/>
          <w:szCs w:val="21"/>
          <w:lang w:val="en-US"/>
        </w:rPr>
        <w:t>Recipients</w:t>
      </w:r>
      <w:r w:rsidR="008118F9" w:rsidRPr="00D96801">
        <w:rPr>
          <w:sz w:val="21"/>
          <w:szCs w:val="21"/>
          <w:lang w:val="en-US"/>
        </w:rPr>
        <w:t xml:space="preserve"> are expected to represent New Zealand </w:t>
      </w:r>
      <w:r w:rsidR="00647DA2" w:rsidRPr="00D96801">
        <w:rPr>
          <w:sz w:val="21"/>
          <w:szCs w:val="21"/>
          <w:lang w:val="en-US"/>
        </w:rPr>
        <w:t>(and</w:t>
      </w:r>
      <w:r w:rsidR="008118F9" w:rsidRPr="00D96801">
        <w:rPr>
          <w:sz w:val="21"/>
          <w:szCs w:val="21"/>
          <w:lang w:val="en-US"/>
        </w:rPr>
        <w:t xml:space="preserve"> where relevant, their home institution) positively; particularly demonstrating the quality of a New Zealand education experience.</w:t>
      </w:r>
    </w:p>
    <w:p w:rsidR="008118F9" w:rsidRPr="00D96801" w:rsidRDefault="00B468F2" w:rsidP="000A734A">
      <w:pPr>
        <w:pStyle w:val="ListParagraph"/>
        <w:numPr>
          <w:ilvl w:val="0"/>
          <w:numId w:val="4"/>
        </w:numPr>
        <w:spacing w:after="120"/>
        <w:ind w:left="426" w:hanging="426"/>
        <w:contextualSpacing w:val="0"/>
        <w:rPr>
          <w:sz w:val="21"/>
          <w:szCs w:val="21"/>
          <w:lang w:val="en-US"/>
        </w:rPr>
      </w:pPr>
      <w:r w:rsidRPr="00D96801">
        <w:rPr>
          <w:sz w:val="21"/>
          <w:szCs w:val="21"/>
          <w:lang w:val="en-US"/>
        </w:rPr>
        <w:t>Recipients</w:t>
      </w:r>
      <w:r w:rsidR="008118F9" w:rsidRPr="00D96801">
        <w:rPr>
          <w:sz w:val="21"/>
          <w:szCs w:val="21"/>
          <w:lang w:val="en-US"/>
        </w:rPr>
        <w:t xml:space="preserve"> must demonstrate willingness and preparedness to put into practice the </w:t>
      </w:r>
      <w:r w:rsidRPr="00D96801">
        <w:rPr>
          <w:sz w:val="21"/>
          <w:szCs w:val="21"/>
          <w:lang w:val="en-US"/>
        </w:rPr>
        <w:t>aims</w:t>
      </w:r>
      <w:r w:rsidR="008118F9" w:rsidRPr="00D96801">
        <w:rPr>
          <w:sz w:val="21"/>
          <w:szCs w:val="21"/>
          <w:lang w:val="en-US"/>
        </w:rPr>
        <w:t xml:space="preserve"> of the scholarship.</w:t>
      </w:r>
    </w:p>
    <w:p w:rsidR="0078454C" w:rsidRDefault="0078454C" w:rsidP="000A734A">
      <w:pPr>
        <w:spacing w:after="120"/>
        <w:ind w:left="426" w:hanging="720"/>
        <w:rPr>
          <w:rFonts w:cstheme="minorHAnsi"/>
          <w:b/>
        </w:rPr>
      </w:pPr>
    </w:p>
    <w:p w:rsidR="008118F9" w:rsidRPr="0078454C" w:rsidRDefault="008118F9" w:rsidP="000A734A">
      <w:pPr>
        <w:spacing w:after="120"/>
        <w:ind w:left="426" w:hanging="426"/>
        <w:rPr>
          <w:rFonts w:cstheme="minorHAnsi"/>
          <w:b/>
        </w:rPr>
      </w:pPr>
      <w:r w:rsidRPr="0078454C">
        <w:rPr>
          <w:rFonts w:cstheme="minorHAnsi"/>
          <w:b/>
        </w:rPr>
        <w:t>Termination of the Scholarship</w:t>
      </w:r>
    </w:p>
    <w:p w:rsidR="008118F9" w:rsidRPr="00D96801" w:rsidRDefault="008118F9" w:rsidP="000A734A">
      <w:pPr>
        <w:pStyle w:val="ListParagraph"/>
        <w:numPr>
          <w:ilvl w:val="0"/>
          <w:numId w:val="4"/>
        </w:numPr>
        <w:spacing w:after="120"/>
        <w:ind w:left="567" w:hanging="567"/>
        <w:contextualSpacing w:val="0"/>
        <w:rPr>
          <w:sz w:val="21"/>
          <w:szCs w:val="21"/>
          <w:lang w:val="en-US"/>
        </w:rPr>
      </w:pPr>
      <w:r w:rsidRPr="00D96801">
        <w:rPr>
          <w:sz w:val="21"/>
          <w:szCs w:val="21"/>
          <w:lang w:val="en-US"/>
        </w:rPr>
        <w:t>Failure to maintain satisfactory progress</w:t>
      </w:r>
      <w:r w:rsidR="002F056B" w:rsidRPr="00D96801">
        <w:rPr>
          <w:sz w:val="21"/>
          <w:szCs w:val="21"/>
          <w:lang w:val="en-US"/>
        </w:rPr>
        <w:t>,</w:t>
      </w:r>
      <w:r w:rsidRPr="00D96801">
        <w:rPr>
          <w:sz w:val="21"/>
          <w:szCs w:val="21"/>
          <w:lang w:val="en-US"/>
        </w:rPr>
        <w:t xml:space="preserve"> good standing </w:t>
      </w:r>
      <w:r w:rsidR="002F056B" w:rsidRPr="00D96801">
        <w:rPr>
          <w:sz w:val="21"/>
          <w:szCs w:val="21"/>
          <w:lang w:val="en-US"/>
        </w:rPr>
        <w:t xml:space="preserve">and appropriate </w:t>
      </w:r>
      <w:r w:rsidR="00F30304" w:rsidRPr="00D96801">
        <w:rPr>
          <w:sz w:val="21"/>
          <w:szCs w:val="21"/>
          <w:lang w:val="en-US"/>
        </w:rPr>
        <w:t>behaviour</w:t>
      </w:r>
      <w:r w:rsidR="002F056B" w:rsidRPr="00D96801">
        <w:rPr>
          <w:sz w:val="21"/>
          <w:szCs w:val="21"/>
          <w:lang w:val="en-US"/>
        </w:rPr>
        <w:t xml:space="preserve"> </w:t>
      </w:r>
      <w:r w:rsidRPr="00D96801">
        <w:rPr>
          <w:sz w:val="21"/>
          <w:szCs w:val="21"/>
          <w:lang w:val="en-US"/>
        </w:rPr>
        <w:t xml:space="preserve">as </w:t>
      </w:r>
      <w:r w:rsidR="002F056B" w:rsidRPr="00D96801">
        <w:rPr>
          <w:sz w:val="21"/>
          <w:szCs w:val="21"/>
          <w:lang w:val="en-US"/>
        </w:rPr>
        <w:t xml:space="preserve">outlined </w:t>
      </w:r>
      <w:r w:rsidRPr="00D96801">
        <w:rPr>
          <w:sz w:val="21"/>
          <w:szCs w:val="21"/>
          <w:lang w:val="en-US"/>
        </w:rPr>
        <w:t xml:space="preserve">above </w:t>
      </w:r>
      <w:r w:rsidR="000A734A">
        <w:rPr>
          <w:sz w:val="21"/>
          <w:szCs w:val="21"/>
          <w:lang w:val="en-US"/>
        </w:rPr>
        <w:br/>
      </w:r>
      <w:r w:rsidRPr="00D96801">
        <w:rPr>
          <w:sz w:val="21"/>
          <w:szCs w:val="21"/>
          <w:lang w:val="en-US"/>
        </w:rPr>
        <w:t>and as stipulated by their host institution and academic programme will result in the scholarship being terminated.</w:t>
      </w:r>
    </w:p>
    <w:p w:rsidR="008118F9" w:rsidRPr="00D96801" w:rsidRDefault="008118F9" w:rsidP="000A734A">
      <w:pPr>
        <w:pStyle w:val="ListParagraph"/>
        <w:numPr>
          <w:ilvl w:val="0"/>
          <w:numId w:val="4"/>
        </w:numPr>
        <w:spacing w:after="120"/>
        <w:ind w:left="567" w:hanging="567"/>
        <w:contextualSpacing w:val="0"/>
        <w:rPr>
          <w:sz w:val="21"/>
          <w:szCs w:val="21"/>
          <w:lang w:val="en-US"/>
        </w:rPr>
      </w:pPr>
      <w:r w:rsidRPr="00D96801">
        <w:rPr>
          <w:sz w:val="21"/>
          <w:szCs w:val="21"/>
          <w:lang w:val="en-US"/>
        </w:rPr>
        <w:t>Suspension from the host institution will result in immediate termination of the scholarship.</w:t>
      </w:r>
    </w:p>
    <w:p w:rsidR="008118F9" w:rsidRPr="00D96801" w:rsidRDefault="008118F9" w:rsidP="000A734A">
      <w:pPr>
        <w:pStyle w:val="ListParagraph"/>
        <w:numPr>
          <w:ilvl w:val="0"/>
          <w:numId w:val="4"/>
        </w:numPr>
        <w:spacing w:after="120"/>
        <w:ind w:left="567" w:hanging="567"/>
        <w:contextualSpacing w:val="0"/>
        <w:rPr>
          <w:sz w:val="21"/>
          <w:szCs w:val="21"/>
          <w:lang w:val="en-US"/>
        </w:rPr>
      </w:pPr>
      <w:r w:rsidRPr="00D96801">
        <w:rPr>
          <w:sz w:val="21"/>
          <w:szCs w:val="21"/>
          <w:lang w:val="en-US"/>
        </w:rPr>
        <w:t xml:space="preserve">If the </w:t>
      </w:r>
      <w:r w:rsidR="00B468F2" w:rsidRPr="00D96801">
        <w:rPr>
          <w:sz w:val="21"/>
          <w:szCs w:val="21"/>
          <w:lang w:val="en-US"/>
        </w:rPr>
        <w:t>Recipient</w:t>
      </w:r>
      <w:r w:rsidRPr="00D96801">
        <w:rPr>
          <w:sz w:val="21"/>
          <w:szCs w:val="21"/>
          <w:lang w:val="en-US"/>
        </w:rPr>
        <w:t xml:space="preserve"> fails to commence the agreed programme the scholarship will be terminated.</w:t>
      </w:r>
    </w:p>
    <w:p w:rsidR="0065336D" w:rsidRDefault="001A66A0" w:rsidP="000A734A">
      <w:pPr>
        <w:pStyle w:val="ListParagraph"/>
        <w:numPr>
          <w:ilvl w:val="0"/>
          <w:numId w:val="4"/>
        </w:numPr>
        <w:spacing w:after="120"/>
        <w:ind w:left="567" w:hanging="567"/>
        <w:contextualSpacing w:val="0"/>
        <w:rPr>
          <w:sz w:val="21"/>
          <w:szCs w:val="21"/>
          <w:lang w:val="en-US"/>
        </w:rPr>
      </w:pPr>
      <w:r>
        <w:rPr>
          <w:sz w:val="21"/>
          <w:szCs w:val="21"/>
          <w:lang w:val="en-US"/>
        </w:rPr>
        <w:t>In cases of t</w:t>
      </w:r>
      <w:r w:rsidR="008118F9" w:rsidRPr="00D96801">
        <w:rPr>
          <w:sz w:val="21"/>
          <w:szCs w:val="21"/>
          <w:lang w:val="en-US"/>
        </w:rPr>
        <w:t xml:space="preserve">ermination, scholarship funds may be required to be reimbursed in full or in part. </w:t>
      </w:r>
      <w:r w:rsidR="00B468F2" w:rsidRPr="00D96801">
        <w:rPr>
          <w:sz w:val="21"/>
          <w:szCs w:val="21"/>
          <w:lang w:val="en-US"/>
        </w:rPr>
        <w:br/>
      </w:r>
    </w:p>
    <w:p w:rsidR="001B04FB" w:rsidRPr="001B04FB" w:rsidRDefault="001B04FB" w:rsidP="001B04FB">
      <w:pPr>
        <w:spacing w:after="120"/>
        <w:rPr>
          <w:sz w:val="21"/>
          <w:szCs w:val="21"/>
          <w:lang w:val="en-US"/>
        </w:rPr>
      </w:pPr>
    </w:p>
    <w:sectPr w:rsidR="001B04FB" w:rsidRPr="001B04FB" w:rsidSect="001A66A0">
      <w:headerReference w:type="default" r:id="rId9"/>
      <w:footerReference w:type="default" r:id="rId10"/>
      <w:headerReference w:type="first" r:id="rId11"/>
      <w:footerReference w:type="first" r:id="rId12"/>
      <w:pgSz w:w="11906" w:h="16838"/>
      <w:pgMar w:top="406" w:right="1225" w:bottom="568" w:left="924"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2E4" w:rsidRDefault="001442E4" w:rsidP="00A11EC7">
      <w:r>
        <w:separator/>
      </w:r>
    </w:p>
  </w:endnote>
  <w:endnote w:type="continuationSeparator" w:id="0">
    <w:p w:rsidR="001442E4" w:rsidRDefault="001442E4" w:rsidP="00A1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2E4" w:rsidRPr="00123E4C" w:rsidRDefault="001442E4" w:rsidP="00123E4C">
    <w:pPr>
      <w:pStyle w:val="Footer"/>
      <w:tabs>
        <w:tab w:val="clear" w:pos="4513"/>
        <w:tab w:val="clear" w:pos="9026"/>
      </w:tabs>
      <w:ind w:right="-756"/>
      <w:jc w:val="right"/>
    </w:pPr>
    <w:r>
      <w:rPr>
        <w:noProof/>
      </w:rPr>
      <w:drawing>
        <wp:inline distT="0" distB="0" distL="0" distR="0" wp14:anchorId="2BFEEB90" wp14:editId="6D9FC3EF">
          <wp:extent cx="3974591" cy="31089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F70" w:rsidRDefault="00986F70">
    <w:pPr>
      <w:pStyle w:val="Footer"/>
    </w:pPr>
    <w:r w:rsidRPr="009213E7">
      <w:rPr>
        <w:rFonts w:asciiTheme="majorHAnsi" w:hAnsiTheme="majorHAnsi"/>
        <w:noProof/>
      </w:rPr>
      <w:drawing>
        <wp:anchor distT="0" distB="0" distL="114300" distR="114300" simplePos="0" relativeHeight="251662336" behindDoc="1" locked="0" layoutInCell="1" allowOverlap="1" wp14:anchorId="46A1B0D2" wp14:editId="4409456D">
          <wp:simplePos x="0" y="0"/>
          <wp:positionH relativeFrom="column">
            <wp:posOffset>-222369</wp:posOffset>
          </wp:positionH>
          <wp:positionV relativeFrom="page">
            <wp:posOffset>10258851</wp:posOffset>
          </wp:positionV>
          <wp:extent cx="6848856" cy="207264"/>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E_Reports_Template_Footer+Line.jpg"/>
                  <pic:cNvPicPr/>
                </pic:nvPicPr>
                <pic:blipFill>
                  <a:blip r:embed="rId1">
                    <a:extLst>
                      <a:ext uri="{28A0092B-C50C-407E-A947-70E740481C1C}">
                        <a14:useLocalDpi xmlns:a14="http://schemas.microsoft.com/office/drawing/2010/main" val="0"/>
                      </a:ext>
                    </a:extLst>
                  </a:blip>
                  <a:stretch>
                    <a:fillRect/>
                  </a:stretch>
                </pic:blipFill>
                <pic:spPr>
                  <a:xfrm>
                    <a:off x="0" y="0"/>
                    <a:ext cx="6848856" cy="20726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442E4" w:rsidRPr="00C6283B" w:rsidRDefault="001442E4" w:rsidP="008118F9">
    <w:pPr>
      <w:pStyle w:val="Letter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2E4" w:rsidRDefault="001442E4" w:rsidP="00A11EC7">
      <w:r>
        <w:separator/>
      </w:r>
    </w:p>
  </w:footnote>
  <w:footnote w:type="continuationSeparator" w:id="0">
    <w:p w:rsidR="001442E4" w:rsidRDefault="001442E4" w:rsidP="00A11EC7">
      <w:r>
        <w:continuationSeparator/>
      </w:r>
    </w:p>
  </w:footnote>
  <w:footnote w:id="1">
    <w:p w:rsidR="00DD30F4" w:rsidRDefault="00DD30F4">
      <w:pPr>
        <w:pStyle w:val="FootnoteText"/>
      </w:pPr>
      <w:r>
        <w:rPr>
          <w:rStyle w:val="FootnoteReference"/>
        </w:rPr>
        <w:footnoteRef/>
      </w:r>
      <w:r>
        <w:t xml:space="preserve"> </w:t>
      </w:r>
      <w:r w:rsidRPr="005C5ACC">
        <w:rPr>
          <w:sz w:val="16"/>
          <w:szCs w:val="16"/>
          <w:lang w:val="en-US"/>
        </w:rPr>
        <w:t>includes but is not limited to: World Wide Web, email, instant messaging, videoconferencing, shared file spaces, the Stream environment, collaboration tools, chat rooms, email lists, peer to peer communications, and telecommunications generally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2E4" w:rsidRDefault="001442E4" w:rsidP="00C6283B">
    <w:pPr>
      <w:pStyle w:val="Header"/>
      <w:tabs>
        <w:tab w:val="clear" w:pos="4513"/>
        <w:tab w:val="clear" w:pos="9026"/>
      </w:tabs>
    </w:pPr>
    <w:r>
      <w:rPr>
        <w:noProof/>
      </w:rPr>
      <w:drawing>
        <wp:anchor distT="0" distB="0" distL="114300" distR="114300" simplePos="0" relativeHeight="251660288" behindDoc="1" locked="0" layoutInCell="1" allowOverlap="1" wp14:anchorId="43A2AFF7" wp14:editId="53457DFB">
          <wp:simplePos x="0" y="0"/>
          <wp:positionH relativeFrom="page">
            <wp:posOffset>4954600</wp:posOffset>
          </wp:positionH>
          <wp:positionV relativeFrom="page">
            <wp:posOffset>48895</wp:posOffset>
          </wp:positionV>
          <wp:extent cx="2560320" cy="943661"/>
          <wp:effectExtent l="0" t="0" r="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1442E4" w:rsidTr="000C4D22">
      <w:trPr>
        <w:trHeight w:val="992"/>
      </w:trPr>
      <w:tc>
        <w:tcPr>
          <w:tcW w:w="4682" w:type="dxa"/>
          <w:hideMark/>
        </w:tcPr>
        <w:p w:rsidR="001442E4" w:rsidRDefault="001442E4">
          <w:pPr>
            <w:pStyle w:val="Header"/>
            <w:tabs>
              <w:tab w:val="left" w:pos="720"/>
            </w:tabs>
            <w:ind w:left="-150"/>
          </w:pPr>
          <w:r>
            <w:rPr>
              <w:noProof/>
            </w:rPr>
            <w:drawing>
              <wp:inline distT="0" distB="0" distL="0" distR="0" wp14:anchorId="252C92C0" wp14:editId="3A068B05">
                <wp:extent cx="2477135" cy="9036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rsidR="001442E4" w:rsidRDefault="001442E4">
          <w:pPr>
            <w:pStyle w:val="Header"/>
            <w:tabs>
              <w:tab w:val="clear" w:pos="4513"/>
            </w:tabs>
            <w:spacing w:after="160"/>
            <w:ind w:right="-108"/>
            <w:jc w:val="right"/>
          </w:pPr>
          <w:r>
            <w:rPr>
              <w:noProof/>
            </w:rPr>
            <w:drawing>
              <wp:anchor distT="0" distB="0" distL="114300" distR="114300" simplePos="0" relativeHeight="251659264" behindDoc="1" locked="0" layoutInCell="1" allowOverlap="1" wp14:anchorId="28100C4B" wp14:editId="0AB46C0C">
                <wp:simplePos x="0" y="0"/>
                <wp:positionH relativeFrom="column">
                  <wp:posOffset>650875</wp:posOffset>
                </wp:positionH>
                <wp:positionV relativeFrom="paragraph">
                  <wp:posOffset>79848</wp:posOffset>
                </wp:positionV>
                <wp:extent cx="3061970" cy="95885"/>
                <wp:effectExtent l="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2E4" w:rsidRDefault="001442E4">
          <w:pPr>
            <w:pStyle w:val="HeaderAddress"/>
            <w:rPr>
              <w:lang w:eastAsia="en-US"/>
            </w:rPr>
          </w:pPr>
          <w:r>
            <w:rPr>
              <w:lang w:eastAsia="en-US"/>
            </w:rPr>
            <w:t>Level 5 Lambton House, 160 Lambton Quay</w:t>
          </w:r>
        </w:p>
        <w:p w:rsidR="001442E4" w:rsidRDefault="001442E4">
          <w:pPr>
            <w:pStyle w:val="HeaderAddress"/>
            <w:rPr>
              <w:lang w:eastAsia="en-US"/>
            </w:rPr>
          </w:pPr>
          <w:r>
            <w:rPr>
              <w:lang w:eastAsia="en-US"/>
            </w:rPr>
            <w:t>PO Box 12041, Wellington 6144, New Zealand</w:t>
          </w:r>
        </w:p>
        <w:p w:rsidR="001442E4" w:rsidRDefault="001442E4" w:rsidP="000D768A">
          <w:pPr>
            <w:pStyle w:val="HeaderAddress"/>
            <w:spacing w:before="240"/>
            <w:rPr>
              <w:lang w:eastAsia="en-US"/>
            </w:rPr>
          </w:pPr>
          <w:r>
            <w:rPr>
              <w:lang w:eastAsia="en-US"/>
            </w:rPr>
            <w:t xml:space="preserve">Telephone +64 4 830 0807 </w:t>
          </w:r>
          <w:r w:rsidRPr="001C6B2C">
            <w:rPr>
              <w:rFonts w:asciiTheme="minorHAnsi" w:hAnsiTheme="minorHAnsi" w:cstheme="minorHAnsi"/>
              <w:lang w:eastAsia="en-US"/>
            </w:rPr>
            <w:t>I</w:t>
          </w:r>
          <w:r>
            <w:rPr>
              <w:lang w:eastAsia="en-US"/>
            </w:rPr>
            <w:t xml:space="preserve"> scholarship@enz.govt.nz</w:t>
          </w:r>
        </w:p>
      </w:tc>
    </w:tr>
  </w:tbl>
  <w:p w:rsidR="001442E4" w:rsidRDefault="001442E4" w:rsidP="008659C1"/>
  <w:p w:rsidR="001442E4" w:rsidRDefault="001442E4" w:rsidP="008659C1"/>
  <w:p w:rsidR="001442E4" w:rsidRPr="008659C1" w:rsidRDefault="001442E4" w:rsidP="008659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558ED"/>
    <w:multiLevelType w:val="hybridMultilevel"/>
    <w:tmpl w:val="E1D40AE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95B4F96"/>
    <w:multiLevelType w:val="hybridMultilevel"/>
    <w:tmpl w:val="4BD0BA1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A3F6E34"/>
    <w:multiLevelType w:val="hybridMultilevel"/>
    <w:tmpl w:val="9B5A4AA8"/>
    <w:lvl w:ilvl="0" w:tplc="904E995A">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ED835EA"/>
    <w:multiLevelType w:val="hybridMultilevel"/>
    <w:tmpl w:val="263C51B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4" w15:restartNumberingAfterBreak="0">
    <w:nsid w:val="427D7A36"/>
    <w:multiLevelType w:val="hybridMultilevel"/>
    <w:tmpl w:val="BBE4901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E2502AD"/>
    <w:multiLevelType w:val="hybridMultilevel"/>
    <w:tmpl w:val="C5C4830E"/>
    <w:lvl w:ilvl="0" w:tplc="2DDA5F72">
      <w:start w:val="1"/>
      <w:numFmt w:val="decimal"/>
      <w:lvlText w:val="%1."/>
      <w:lvlJc w:val="left"/>
      <w:pPr>
        <w:ind w:left="360" w:hanging="360"/>
      </w:pPr>
      <w:rPr>
        <w:rFonts w:hint="default"/>
        <w:b w:val="0"/>
        <w:bCs w:val="0"/>
        <w:i w:val="0"/>
        <w:iCs w:val="0"/>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73238A"/>
    <w:multiLevelType w:val="hybridMultilevel"/>
    <w:tmpl w:val="06321F5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
  </w:num>
  <w:num w:numId="2">
    <w:abstractNumId w:val="2"/>
  </w:num>
  <w:num w:numId="3">
    <w:abstractNumId w:val="5"/>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F9"/>
    <w:rsid w:val="00025A78"/>
    <w:rsid w:val="000328EA"/>
    <w:rsid w:val="0004655E"/>
    <w:rsid w:val="000A734A"/>
    <w:rsid w:val="000C4D22"/>
    <w:rsid w:val="000D768A"/>
    <w:rsid w:val="00123E4C"/>
    <w:rsid w:val="001442E4"/>
    <w:rsid w:val="001477F1"/>
    <w:rsid w:val="0015422F"/>
    <w:rsid w:val="00175E76"/>
    <w:rsid w:val="001A66A0"/>
    <w:rsid w:val="001A7E0B"/>
    <w:rsid w:val="001B04FB"/>
    <w:rsid w:val="001C6B2C"/>
    <w:rsid w:val="001E36D7"/>
    <w:rsid w:val="0028725F"/>
    <w:rsid w:val="00294242"/>
    <w:rsid w:val="002A1B0D"/>
    <w:rsid w:val="002C7D71"/>
    <w:rsid w:val="002F056B"/>
    <w:rsid w:val="00302870"/>
    <w:rsid w:val="003039B5"/>
    <w:rsid w:val="0033642F"/>
    <w:rsid w:val="0035743D"/>
    <w:rsid w:val="003703D0"/>
    <w:rsid w:val="003933F5"/>
    <w:rsid w:val="0040378B"/>
    <w:rsid w:val="004443D0"/>
    <w:rsid w:val="0044792D"/>
    <w:rsid w:val="004A09CB"/>
    <w:rsid w:val="004A397D"/>
    <w:rsid w:val="005675C2"/>
    <w:rsid w:val="00647DA2"/>
    <w:rsid w:val="0065336D"/>
    <w:rsid w:val="00677C99"/>
    <w:rsid w:val="00685743"/>
    <w:rsid w:val="00706D83"/>
    <w:rsid w:val="00762B8B"/>
    <w:rsid w:val="0078454C"/>
    <w:rsid w:val="007A497D"/>
    <w:rsid w:val="007B67B5"/>
    <w:rsid w:val="007D7E52"/>
    <w:rsid w:val="008017F0"/>
    <w:rsid w:val="008118F9"/>
    <w:rsid w:val="008659C1"/>
    <w:rsid w:val="008918F6"/>
    <w:rsid w:val="008C3367"/>
    <w:rsid w:val="00933C0A"/>
    <w:rsid w:val="00937D89"/>
    <w:rsid w:val="00986F70"/>
    <w:rsid w:val="009A3637"/>
    <w:rsid w:val="00A11EC7"/>
    <w:rsid w:val="00A471A0"/>
    <w:rsid w:val="00A60CED"/>
    <w:rsid w:val="00A769A4"/>
    <w:rsid w:val="00B30D2B"/>
    <w:rsid w:val="00B468F2"/>
    <w:rsid w:val="00B62E2E"/>
    <w:rsid w:val="00B737CC"/>
    <w:rsid w:val="00B936D3"/>
    <w:rsid w:val="00B96A20"/>
    <w:rsid w:val="00BB30A9"/>
    <w:rsid w:val="00BE414D"/>
    <w:rsid w:val="00C6283B"/>
    <w:rsid w:val="00C8095E"/>
    <w:rsid w:val="00C87FEF"/>
    <w:rsid w:val="00C9258F"/>
    <w:rsid w:val="00C974C1"/>
    <w:rsid w:val="00CE7D75"/>
    <w:rsid w:val="00D16C9F"/>
    <w:rsid w:val="00D93820"/>
    <w:rsid w:val="00D96801"/>
    <w:rsid w:val="00DB2029"/>
    <w:rsid w:val="00DC0EA3"/>
    <w:rsid w:val="00DD30F4"/>
    <w:rsid w:val="00DF01B7"/>
    <w:rsid w:val="00E8669F"/>
    <w:rsid w:val="00E950DB"/>
    <w:rsid w:val="00E966F3"/>
    <w:rsid w:val="00EE1704"/>
    <w:rsid w:val="00EF0DD2"/>
    <w:rsid w:val="00F05158"/>
    <w:rsid w:val="00F150A1"/>
    <w:rsid w:val="00F30304"/>
    <w:rsid w:val="00F45A85"/>
    <w:rsid w:val="00F47973"/>
    <w:rsid w:val="00FD41E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A6E73CEE-D679-4063-931D-7903760B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8F9"/>
    <w:pPr>
      <w:spacing w:after="0" w:line="240" w:lineRule="auto"/>
    </w:pPr>
    <w:rPr>
      <w:rFonts w:ascii="Calibri" w:hAnsi="Calibri" w:cs="Times New Roman"/>
      <w:lang w:eastAsia="en-NZ"/>
    </w:rPr>
  </w:style>
  <w:style w:type="paragraph" w:styleId="Heading1">
    <w:name w:val="heading 1"/>
    <w:basedOn w:val="Normal"/>
    <w:next w:val="Normal"/>
    <w:link w:val="Heading1Char"/>
    <w:uiPriority w:val="9"/>
    <w:qFormat/>
    <w:rsid w:val="00175E76"/>
    <w:pPr>
      <w:keepNext/>
      <w:keepLines/>
      <w:spacing w:before="480"/>
      <w:outlineLvl w:val="0"/>
    </w:pPr>
    <w:rPr>
      <w:rFonts w:asciiTheme="majorHAnsi" w:eastAsiaTheme="majorEastAsia" w:hAnsiTheme="majorHAnsi" w:cstheme="majorBidi"/>
      <w:b/>
      <w:bCs/>
      <w:sz w:val="24"/>
      <w:szCs w:val="28"/>
    </w:rPr>
  </w:style>
  <w:style w:type="paragraph" w:styleId="Heading3">
    <w:name w:val="heading 3"/>
    <w:basedOn w:val="Normal"/>
    <w:next w:val="Normal"/>
    <w:link w:val="Heading3Char"/>
    <w:autoRedefine/>
    <w:uiPriority w:val="9"/>
    <w:unhideWhenUsed/>
    <w:qFormat/>
    <w:rsid w:val="008118F9"/>
    <w:pPr>
      <w:keepNext/>
      <w:keepLines/>
      <w:spacing w:before="200" w:after="120"/>
      <w:outlineLvl w:val="2"/>
    </w:pPr>
    <w:rPr>
      <w:rFonts w:asciiTheme="majorHAnsi" w:eastAsiaTheme="majorEastAsia" w:hAnsiTheme="majorHAnsi" w:cstheme="maj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6"/>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rsid w:val="00175E76"/>
    <w:rPr>
      <w:rFonts w:ascii="Tahoma" w:hAnsi="Tahoma" w:cs="Tahoma"/>
      <w:sz w:val="16"/>
      <w:szCs w:val="16"/>
    </w:rPr>
  </w:style>
  <w:style w:type="character" w:customStyle="1" w:styleId="BalloonTextChar">
    <w:name w:val="Balloon Text Char"/>
    <w:basedOn w:val="DefaultParagraphFont"/>
    <w:link w:val="BalloonText"/>
    <w:uiPriority w:val="99"/>
    <w:semiHidden/>
    <w:rsid w:val="00175E76"/>
    <w:rPr>
      <w:rFonts w:ascii="Tahoma" w:hAnsi="Tahoma" w:cs="Tahoma"/>
      <w:sz w:val="16"/>
      <w:szCs w:val="16"/>
    </w:rPr>
  </w:style>
  <w:style w:type="paragraph" w:styleId="Header">
    <w:name w:val="header"/>
    <w:basedOn w:val="Normal"/>
    <w:link w:val="HeaderChar"/>
    <w:uiPriority w:val="99"/>
    <w:semiHidden/>
    <w:rsid w:val="00175E76"/>
    <w:pPr>
      <w:tabs>
        <w:tab w:val="center" w:pos="4513"/>
        <w:tab w:val="right" w:pos="9026"/>
      </w:tabs>
    </w:pPr>
  </w:style>
  <w:style w:type="character" w:customStyle="1" w:styleId="HeaderChar">
    <w:name w:val="Header Char"/>
    <w:basedOn w:val="DefaultParagraphFont"/>
    <w:link w:val="Header"/>
    <w:uiPriority w:val="99"/>
    <w:semiHidden/>
    <w:rsid w:val="00175E76"/>
    <w:rPr>
      <w:sz w:val="20"/>
    </w:rPr>
  </w:style>
  <w:style w:type="paragraph" w:styleId="Footer">
    <w:name w:val="footer"/>
    <w:basedOn w:val="Normal"/>
    <w:link w:val="FooterChar"/>
    <w:uiPriority w:val="99"/>
    <w:rsid w:val="00175E76"/>
    <w:pPr>
      <w:tabs>
        <w:tab w:val="center" w:pos="4513"/>
        <w:tab w:val="right" w:pos="9026"/>
      </w:tabs>
    </w:pPr>
  </w:style>
  <w:style w:type="character" w:customStyle="1" w:styleId="FooterChar">
    <w:name w:val="Footer Char"/>
    <w:basedOn w:val="DefaultParagraphFont"/>
    <w:link w:val="Footer"/>
    <w:uiPriority w:val="99"/>
    <w:rsid w:val="00175E76"/>
    <w:rPr>
      <w:sz w:val="20"/>
    </w:rPr>
  </w:style>
  <w:style w:type="table" w:styleId="TableGrid">
    <w:name w:val="Table Grid"/>
    <w:basedOn w:val="TableNormal"/>
    <w:uiPriority w:val="59"/>
    <w:rsid w:val="0017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qFormat/>
    <w:rsid w:val="00175E76"/>
    <w:pPr>
      <w:spacing w:before="60" w:after="0" w:line="240" w:lineRule="auto"/>
      <w:jc w:val="right"/>
    </w:pPr>
    <w:rPr>
      <w:rFonts w:ascii="Rockwell" w:hAnsi="Rockwell"/>
      <w:b/>
      <w:noProof/>
      <w:color w:val="191919"/>
      <w:sz w:val="19"/>
      <w:szCs w:val="19"/>
      <w:lang w:eastAsia="en-NZ"/>
    </w:rPr>
  </w:style>
  <w:style w:type="paragraph" w:customStyle="1" w:styleId="DateStyle">
    <w:name w:val="Date Style"/>
    <w:basedOn w:val="Normal"/>
    <w:uiPriority w:val="1"/>
    <w:qFormat/>
    <w:rsid w:val="00175E76"/>
  </w:style>
  <w:style w:type="paragraph" w:styleId="BodyText">
    <w:name w:val="Body Text"/>
    <w:basedOn w:val="Normal"/>
    <w:link w:val="BodyTextChar"/>
    <w:uiPriority w:val="1"/>
    <w:rsid w:val="00175E76"/>
    <w:pPr>
      <w:spacing w:before="40" w:after="160" w:line="260" w:lineRule="atLeast"/>
    </w:pPr>
  </w:style>
  <w:style w:type="character" w:customStyle="1" w:styleId="BodyTextChar">
    <w:name w:val="Body Text Char"/>
    <w:basedOn w:val="DefaultParagraphFont"/>
    <w:link w:val="BodyText"/>
    <w:uiPriority w:val="1"/>
    <w:rsid w:val="00175E76"/>
    <w:rPr>
      <w:sz w:val="20"/>
    </w:rPr>
  </w:style>
  <w:style w:type="paragraph" w:customStyle="1" w:styleId="SalutationStyle">
    <w:name w:val="Salutation Style"/>
    <w:basedOn w:val="Normal"/>
    <w:uiPriority w:val="1"/>
    <w:qFormat/>
    <w:rsid w:val="00175E76"/>
    <w:pPr>
      <w:spacing w:before="640" w:after="640"/>
    </w:pPr>
  </w:style>
  <w:style w:type="paragraph" w:customStyle="1" w:styleId="LetterFooter">
    <w:name w:val="Letter Footer"/>
    <w:basedOn w:val="Footer"/>
    <w:uiPriority w:val="99"/>
    <w:qFormat/>
    <w:rsid w:val="00175E76"/>
    <w:pPr>
      <w:tabs>
        <w:tab w:val="clear" w:pos="4513"/>
        <w:tab w:val="clear" w:pos="9026"/>
      </w:tabs>
      <w:ind w:right="-754"/>
      <w:jc w:val="right"/>
    </w:pPr>
    <w:rPr>
      <w:rFonts w:ascii="Arial" w:hAnsi="Arial" w:cs="Arial"/>
      <w:b/>
      <w:color w:val="00A0A7"/>
      <w:sz w:val="23"/>
      <w:szCs w:val="23"/>
    </w:rPr>
  </w:style>
  <w:style w:type="paragraph" w:customStyle="1" w:styleId="Bullet">
    <w:name w:val="Bullet"/>
    <w:basedOn w:val="ListParagraph"/>
    <w:qFormat/>
    <w:rsid w:val="00175E76"/>
    <w:pPr>
      <w:numPr>
        <w:numId w:val="2"/>
      </w:numPr>
      <w:spacing w:before="120"/>
    </w:pPr>
  </w:style>
  <w:style w:type="paragraph" w:styleId="ListParagraph">
    <w:name w:val="List Paragraph"/>
    <w:basedOn w:val="Normal"/>
    <w:uiPriority w:val="34"/>
    <w:qFormat/>
    <w:rsid w:val="00175E76"/>
    <w:pPr>
      <w:ind w:left="720"/>
      <w:contextualSpacing/>
    </w:pPr>
  </w:style>
  <w:style w:type="character" w:customStyle="1" w:styleId="Heading3Char">
    <w:name w:val="Heading 3 Char"/>
    <w:basedOn w:val="DefaultParagraphFont"/>
    <w:link w:val="Heading3"/>
    <w:uiPriority w:val="9"/>
    <w:rsid w:val="008118F9"/>
    <w:rPr>
      <w:rFonts w:asciiTheme="majorHAnsi" w:eastAsiaTheme="majorEastAsia" w:hAnsiTheme="majorHAnsi" w:cstheme="majorBidi"/>
      <w:b/>
      <w:bCs/>
      <w:lang w:val="en-US" w:eastAsia="en-NZ"/>
    </w:rPr>
  </w:style>
  <w:style w:type="character" w:styleId="Hyperlink">
    <w:name w:val="Hyperlink"/>
    <w:basedOn w:val="DefaultParagraphFont"/>
    <w:uiPriority w:val="99"/>
    <w:unhideWhenUsed/>
    <w:rsid w:val="00E966F3"/>
    <w:rPr>
      <w:color w:val="0000FF" w:themeColor="hyperlink"/>
      <w:u w:val="single"/>
    </w:rPr>
  </w:style>
  <w:style w:type="paragraph" w:styleId="FootnoteText">
    <w:name w:val="footnote text"/>
    <w:basedOn w:val="Normal"/>
    <w:link w:val="FootnoteTextChar"/>
    <w:uiPriority w:val="99"/>
    <w:semiHidden/>
    <w:unhideWhenUsed/>
    <w:rsid w:val="00DC0EA3"/>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C0EA3"/>
    <w:rPr>
      <w:sz w:val="20"/>
      <w:szCs w:val="20"/>
    </w:rPr>
  </w:style>
  <w:style w:type="character" w:styleId="FootnoteReference">
    <w:name w:val="footnote reference"/>
    <w:basedOn w:val="DefaultParagraphFont"/>
    <w:uiPriority w:val="99"/>
    <w:semiHidden/>
    <w:unhideWhenUsed/>
    <w:rsid w:val="00DC0E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31063">
      <w:bodyDiv w:val="1"/>
      <w:marLeft w:val="0"/>
      <w:marRight w:val="0"/>
      <w:marTop w:val="0"/>
      <w:marBottom w:val="0"/>
      <w:divBdr>
        <w:top w:val="none" w:sz="0" w:space="0" w:color="auto"/>
        <w:left w:val="none" w:sz="0" w:space="0" w:color="auto"/>
        <w:bottom w:val="none" w:sz="0" w:space="0" w:color="auto"/>
        <w:right w:val="none" w:sz="0" w:space="0" w:color="auto"/>
      </w:divBdr>
    </w:div>
    <w:div w:id="518080788">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ravel.govt.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EB4E-B18B-4AD1-8316-84617205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Prime Minister’s Scholarships for Asia</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Roberts</dc:creator>
  <dc:description>Designed by Clemenger, developed by Allfields. www.allfields.co.nz</dc:description>
  <cp:lastModifiedBy>Jodi Barraclough-Coates</cp:lastModifiedBy>
  <cp:revision>2</cp:revision>
  <cp:lastPrinted>2015-11-26T00:39:00Z</cp:lastPrinted>
  <dcterms:created xsi:type="dcterms:W3CDTF">2016-05-30T02:10:00Z</dcterms:created>
  <dcterms:modified xsi:type="dcterms:W3CDTF">2016-05-30T02:10:00Z</dcterms:modified>
</cp:coreProperties>
</file>